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720" w:right="-6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3240000" cy="80217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802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62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62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2024 PSAANS Bursary Program </w:t>
      </w:r>
    </w:p>
    <w:p w:rsidR="00000000" w:rsidDel="00000000" w:rsidP="00000000" w:rsidRDefault="00000000" w:rsidRPr="00000000" w14:paraId="00000005">
      <w:pPr>
        <w:ind w:left="-720" w:right="-62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Guidelines</w:t>
      </w:r>
    </w:p>
    <w:p w:rsidR="00000000" w:rsidDel="00000000" w:rsidP="00000000" w:rsidRDefault="00000000" w:rsidRPr="00000000" w14:paraId="00000006">
      <w:pPr>
        <w:ind w:left="-720" w:right="-620" w:firstLine="0"/>
        <w:jc w:val="center"/>
        <w:rPr>
          <w:rFonts w:ascii="Nunito" w:cs="Nunito" w:eastAsia="Nunito" w:hAnsi="Nuni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ind w:left="-720" w:right="-620" w:firstLine="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In support of on-going student learning, the Board of Directors of PSAANS passed a motion to award student bursaries in the amount of $500.00 to children of current PSAANS members.  The child must be graduating from Grade 12 in 2024 and bursaries are subject to the guidelines set out herein.  A child is defined as an individual that an administrator has an established duty to make provision for in a parental capacity and that is: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under the age of 25 years old; and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144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dependent on the administrator for financial support</w:t>
      </w:r>
    </w:p>
    <w:p w:rsidR="00000000" w:rsidDel="00000000" w:rsidP="00000000" w:rsidRDefault="00000000" w:rsidRPr="00000000" w14:paraId="0000000A">
      <w:pPr>
        <w:spacing w:after="160" w:lineRule="auto"/>
        <w:ind w:left="-720" w:right="-620" w:firstLine="0"/>
        <w:jc w:val="both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To be eligible for a PSAANS Bursary, a graduating child of a PSAANS member must meet the following criteria: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Application must be submitted no later than 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June 1, 202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Applicants must be graduating from Grade 12 in 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.  In the event that a child is not a resident of Nova Scotia, completion of the local equivalent of Grade 12 will also be eligible.  Proof of graduation must be submitted by 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October 31, 202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Students who graduated in 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 may also apply this year if they have not done so previously.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Applicants must be enrolling in a post-secondary institution (i.e. community college, university, private college, etc.) for the 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-202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 academic year.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Confirmation of enrolment from the registrar of the post-secondary institution where the student is attending must be submitted to PSAANS by 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October 31, 202</w:t>
      </w: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b w:val="1"/>
          <w:color w:val="000000"/>
          <w:sz w:val="20"/>
          <w:szCs w:val="20"/>
          <w:rtl w:val="0"/>
        </w:rPr>
        <w:t xml:space="preserve">.  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Proof of acceptance to a program 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u w:val="single"/>
          <w:rtl w:val="0"/>
        </w:rPr>
        <w:t xml:space="preserve">does not 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meet this criterion.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Students who graduate Grade 12 in 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 and decide not to pursue post-secondary education during the 202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-2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 academic year will have one additional year to qualify for a PSAANS Bursary.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Each child of an administrator is only eligible to receive a PSAANS Bursary once in a lifetime.  This also applies even if more than one parent is an administrator.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62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620" w:hanging="36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The PSAANS member must be a member at the time that the child graduates from high school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630" w:right="-620" w:firstLine="0"/>
        <w:jc w:val="both"/>
        <w:rPr>
          <w:rFonts w:ascii="Nunito" w:cs="Nunito" w:eastAsia="Nunito" w:hAnsi="Nuni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ind w:left="-630" w:right="-620" w:firstLine="0"/>
        <w:jc w:val="both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Application forms can be found in the PSAANS Member Hub under “Forms” and can be downloaded.  Please submit completed applications by email to </w:t>
      </w:r>
      <w:hyperlink r:id="rId8">
        <w:r w:rsidDel="00000000" w:rsidR="00000000" w:rsidRPr="00000000">
          <w:rPr>
            <w:rFonts w:ascii="Nunito" w:cs="Nunito" w:eastAsia="Nunito" w:hAnsi="Nunito"/>
            <w:color w:val="0000ff"/>
            <w:sz w:val="20"/>
            <w:szCs w:val="20"/>
            <w:u w:val="single"/>
            <w:rtl w:val="0"/>
          </w:rPr>
          <w:t xml:space="preserve">finance@psaans.ca</w:t>
        </w:r>
      </w:hyperlink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rtl w:val="0"/>
        </w:rPr>
        <w:t xml:space="preserve"> (preferred method) or by mail to PSAANS Bursary,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Suite 219, 1496 Bedford Highway, Bedford, NS, B4A 1E5.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F1319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22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22DB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inance@psaans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NUQG2FBW7r8iVIUD4rkKcOyQw==">CgMxLjA4AHIhMVlEWllsTld6WWw2a1I5VHVsVjdYZHE4T0lDMVhxZWpq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2023-06-12T16:27:00Z</dcterms:created>
  <dc:creator>kwallace</dc:creator>
</cp:coreProperties>
</file>